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4"/>
        <w:keepNext/>
        <w:keepLines w:val="0"/>
        <w:pageBreakBefore w:val="0"/>
        <w:widowControl w:val="0"/>
        <w:kinsoku/>
        <w:wordWrap/>
        <w:overflowPunct/>
        <w:topLinePunct w:val="0"/>
        <w:autoSpaceDE w:val="0"/>
        <w:autoSpaceDN/>
        <w:bidi w:val="0"/>
        <w:adjustRightInd/>
        <w:snapToGrid/>
        <w:spacing w:before="313" w:beforeLines="100" w:beforeAutospacing="0" w:line="460" w:lineRule="exact"/>
        <w:ind w:firstLine="1767" w:firstLineChars="400"/>
        <w:jc w:val="both"/>
        <w:textAlignment w:val="auto"/>
        <w:outlineLvl w:val="0"/>
        <w:rPr>
          <w:rFonts w:hint="eastAsia" w:ascii="仿宋" w:hAnsi="仿宋" w:eastAsia="仿宋" w:cs="仿宋"/>
          <w:sz w:val="44"/>
          <w:szCs w:val="44"/>
        </w:rPr>
      </w:pPr>
      <w:bookmarkStart w:id="0" w:name="_GoBack"/>
      <w:bookmarkEnd w:id="0"/>
      <w:r>
        <w:rPr>
          <w:rFonts w:hint="eastAsia" w:ascii="仿宋" w:hAnsi="仿宋" w:eastAsia="仿宋" w:cs="仿宋"/>
          <w:sz w:val="44"/>
          <w:szCs w:val="44"/>
        </w:rPr>
        <w:t>违反考试纪律处分办法</w:t>
      </w:r>
    </w:p>
    <w:p>
      <w:pPr>
        <w:autoSpaceDE w:val="0"/>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为了规范学院的考试工作，严肃考试纪律，建设优良考风，根据《中华人民共和国教育法》和教育部《国家教育考试违规处理办法》的精神，特制定本办法。</w:t>
      </w:r>
    </w:p>
    <w:p>
      <w:pPr>
        <w:autoSpaceDE w:val="0"/>
        <w:spacing w:line="560" w:lineRule="exact"/>
        <w:ind w:firstLine="640" w:firstLineChars="200"/>
        <w:rPr>
          <w:rFonts w:hint="eastAsia" w:ascii="仿宋" w:hAnsi="仿宋" w:eastAsia="仿宋" w:cs="仿宋"/>
          <w:b/>
          <w:bCs/>
          <w:sz w:val="32"/>
          <w:szCs w:val="32"/>
        </w:rPr>
      </w:pPr>
      <w:r>
        <w:rPr>
          <w:rFonts w:hint="eastAsia" w:ascii="仿宋" w:hAnsi="仿宋" w:eastAsia="仿宋" w:cs="仿宋"/>
          <w:sz w:val="32"/>
          <w:szCs w:val="32"/>
        </w:rPr>
        <w:t>一、考试违纪认定</w:t>
      </w:r>
    </w:p>
    <w:p>
      <w:pPr>
        <w:autoSpaceDE w:val="0"/>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（一）有下列情形之一者，认定为考试违纪，在成绩单中该门课程此次考试记载“0”，并注明“违纪”：</w:t>
      </w:r>
    </w:p>
    <w:p>
      <w:pPr>
        <w:autoSpaceDE w:val="0"/>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1.携带规定以外的物品进入考场，未按考场规则放在指定位置且不听劝告者；</w:t>
      </w:r>
    </w:p>
    <w:p>
      <w:pPr>
        <w:autoSpaceDE w:val="0"/>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2.未在规定的座位参加考试者；</w:t>
      </w:r>
    </w:p>
    <w:p>
      <w:pPr>
        <w:autoSpaceDE w:val="0"/>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3.考试开始信号发出前答题或者考试结束信号发出后继续答题者；</w:t>
      </w:r>
    </w:p>
    <w:p>
      <w:pPr>
        <w:autoSpaceDE w:val="0"/>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4.在考试过程中旁窥、交头接耳、互打暗号或手势，监考教师制止无效者；</w:t>
      </w:r>
    </w:p>
    <w:p>
      <w:pPr>
        <w:autoSpaceDE w:val="0"/>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5.未经考试工作人员同意在考试过程中擅自离开考场者；</w:t>
      </w:r>
    </w:p>
    <w:p>
      <w:pPr>
        <w:autoSpaceDE w:val="0"/>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6.将试卷、答卷（含答题纸，下同）、草稿纸等考试用纸带出考场者；</w:t>
      </w:r>
    </w:p>
    <w:p>
      <w:pPr>
        <w:autoSpaceDE w:val="0"/>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7.用规定以外的笔或者纸答题，或者在试卷规定以外的地方书写姓名、考号或以其他方式在答题纸上标示信息者；</w:t>
      </w:r>
    </w:p>
    <w:p>
      <w:pPr>
        <w:autoSpaceDE w:val="0"/>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8.考试中有夹带行为者，考试前将有关考试课程的内容抄写在课桌面或墙面等地方者。</w:t>
      </w:r>
    </w:p>
    <w:p>
      <w:pPr>
        <w:autoSpaceDE w:val="0"/>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9.其他违反考场规则但尚未构成作弊的行为。</w:t>
      </w:r>
    </w:p>
    <w:p>
      <w:pPr>
        <w:autoSpaceDE w:val="0"/>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（二）有下列情况之一者，认定为作弊，在成绩单中该门课程此次考试记载为“0”，并注明“作弊”：</w:t>
      </w:r>
    </w:p>
    <w:p>
      <w:pPr>
        <w:autoSpaceDE w:val="0"/>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1.携带与考试内容相关的文字材料或者存储有与考试内容相关资料的电子设备参加考试的；</w:t>
      </w:r>
    </w:p>
    <w:p>
      <w:pPr>
        <w:autoSpaceDE w:val="0"/>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2.抄袭或者协助他人抄袭试题答案或者抄袭夹带材料、课桌面上、墙面与考试课程有关的资料者；</w:t>
      </w:r>
    </w:p>
    <w:p>
      <w:pPr>
        <w:autoSpaceDE w:val="0"/>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3.考试开始后，课桌、座位上仍有与考试内容有关的文字材料的；</w:t>
      </w:r>
    </w:p>
    <w:p>
      <w:pPr>
        <w:autoSpaceDE w:val="0"/>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4.抢夺、窃取他人试卷、答卷或者强迫他人为自己抄袭提供方便或互相传递纸条、交换试卷者；</w:t>
      </w:r>
    </w:p>
    <w:p>
      <w:pPr>
        <w:autoSpaceDE w:val="0"/>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5.在考试过程中使用通讯设备的；</w:t>
      </w:r>
    </w:p>
    <w:p>
      <w:pPr>
        <w:autoSpaceDE w:val="0"/>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6.找别人代替参加考试或代别人参加考试的；</w:t>
      </w:r>
    </w:p>
    <w:p>
      <w:pPr>
        <w:autoSpaceDE w:val="0"/>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7.故意销毁试卷、答卷或者考试材料的；</w:t>
      </w:r>
    </w:p>
    <w:p>
      <w:pPr>
        <w:autoSpaceDE w:val="0"/>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8.在答卷上填写与本人身份不符的姓名、考号等信息的；</w:t>
      </w:r>
    </w:p>
    <w:p>
      <w:pPr>
        <w:autoSpaceDE w:val="0"/>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9.传、接物品或者交换试卷、答卷、草稿纸的；</w:t>
      </w:r>
    </w:p>
    <w:p>
      <w:pPr>
        <w:autoSpaceDE w:val="0"/>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10.其他作弊行为。</w:t>
      </w:r>
    </w:p>
    <w:p>
      <w:pPr>
        <w:autoSpaceDE w:val="0"/>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（三）在考试过程中或者考试结束后发现下列行为之一的，认定为相关考试实施了作弊行为：</w:t>
      </w:r>
    </w:p>
    <w:p>
      <w:pPr>
        <w:autoSpaceDE w:val="0"/>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1.通过伪造证件、证明、档案及其他材料获得考试资格和考试成绩的；</w:t>
      </w:r>
    </w:p>
    <w:p>
      <w:pPr>
        <w:autoSpaceDE w:val="0"/>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2.评卷过程中被发现同科目同一考场两份以上（含两份）答卷答案雷同的；</w:t>
      </w:r>
    </w:p>
    <w:p>
      <w:pPr>
        <w:autoSpaceDE w:val="0"/>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3.考试工作人员协助实施作弊，事后查实的；</w:t>
      </w:r>
    </w:p>
    <w:p>
      <w:pPr>
        <w:autoSpaceDE w:val="0"/>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4.其他应认定为作弊的行为。</w:t>
      </w:r>
    </w:p>
    <w:p>
      <w:pPr>
        <w:autoSpaceDE w:val="0"/>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二、考试违纪处理</w:t>
      </w:r>
    </w:p>
    <w:p>
      <w:pPr>
        <w:autoSpaceDE w:val="0"/>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一）考生应当自觉维护考试工作场所的秩序，服从考试工作人员的管理。有下列行为之一者，应终止其继续参加该科目考试，违反《治安管理处罚条例》的，由公安机关进行处理；构成犯罪的，由司法机关依法追究其刑事责任。</w:t>
      </w:r>
    </w:p>
    <w:p>
      <w:pPr>
        <w:autoSpaceDE w:val="0"/>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1.故意扰乱考点、考场、评卷场所等考试工作场所秩序的；</w:t>
      </w:r>
    </w:p>
    <w:p>
      <w:pPr>
        <w:autoSpaceDE w:val="0"/>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2.拒绝、妨碍考试工作人员履行管理职责的；</w:t>
      </w:r>
    </w:p>
    <w:p>
      <w:pPr>
        <w:autoSpaceDE w:val="0"/>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3.威胁、侮辱、诽谤、诬陷考试工作人员或其他考生的；</w:t>
      </w:r>
    </w:p>
    <w:p>
      <w:pPr>
        <w:autoSpaceDE w:val="0"/>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4.故意损害考试设备的；</w:t>
      </w:r>
    </w:p>
    <w:p>
      <w:pPr>
        <w:autoSpaceDE w:val="0"/>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5.其他扰乱考试管理秩序的行为。</w:t>
      </w:r>
    </w:p>
    <w:p>
      <w:pPr>
        <w:autoSpaceDE w:val="0"/>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（二）考生以作弊行为获得的考试成绩并由此取得相应的学位证书、学历证书及其他学业证书、资格资质证书等，一经查实，学校将宣布证书无效并收回、注销证书。</w:t>
      </w:r>
    </w:p>
    <w:p>
      <w:pPr>
        <w:autoSpaceDE w:val="0"/>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三）教师或考试工作人员应当认真履行工作职责，在考试管理、组织及命题、评卷等工作过程中，有下列行为之一的，学校将视情节轻重分别给予相应的处分；情节严重，构成犯罪的，由司法机关依法追究刑事责任：</w:t>
      </w:r>
    </w:p>
    <w:p>
      <w:pPr>
        <w:autoSpaceDE w:val="0"/>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1.泄露试题内容或者泄露评卷、统分等应予保密的情况的；</w:t>
      </w:r>
    </w:p>
    <w:p>
      <w:pPr>
        <w:autoSpaceDE w:val="0"/>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2.擅自变更考试时间、地点或者其他考试安排的；</w:t>
      </w:r>
    </w:p>
    <w:p>
      <w:pPr>
        <w:autoSpaceDE w:val="0"/>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3.利用监考或者从事考试工作之便，为考生作弊提供条件的；</w:t>
      </w:r>
    </w:p>
    <w:p>
      <w:pPr>
        <w:autoSpaceDE w:val="0"/>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4.擅自将试题答卷或者有关内容带出考场或者传递给他人的；</w:t>
      </w:r>
    </w:p>
    <w:p>
      <w:pPr>
        <w:autoSpaceDE w:val="0"/>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5.在评卷、统分中严重失职，造成明显的错评、漏评或者统分差错的；</w:t>
      </w:r>
    </w:p>
    <w:p>
      <w:pPr>
        <w:autoSpaceDE w:val="0"/>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6.在评卷中擅自更改评分标准或者不按评分标准进行评分的；</w:t>
      </w:r>
    </w:p>
    <w:p>
      <w:pPr>
        <w:autoSpaceDE w:val="0"/>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7.因未认真履行职责，造成所负责考场出现雷同答卷的；</w:t>
      </w:r>
    </w:p>
    <w:p>
      <w:pPr>
        <w:autoSpaceDE w:val="0"/>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8.因玩忽职守，致使考生未能如期参加考试或者使考试工作遭受重大损失的；</w:t>
      </w:r>
    </w:p>
    <w:p>
      <w:pPr>
        <w:autoSpaceDE w:val="0"/>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9.指使、纵容或者伙同他人作弊的；</w:t>
      </w:r>
    </w:p>
    <w:p>
      <w:pPr>
        <w:autoSpaceDE w:val="0"/>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10.偷换、涂改考生答卷、考试成绩或者原始考场记录的；</w:t>
      </w:r>
    </w:p>
    <w:p>
      <w:pPr>
        <w:autoSpaceDE w:val="0"/>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11.擅自更改或者编造、虚报考试数据、信息的；</w:t>
      </w:r>
    </w:p>
    <w:p>
      <w:pPr>
        <w:autoSpaceDE w:val="0"/>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12.利用考试工作便利，索贿、受贿、以权谋私的；</w:t>
      </w:r>
    </w:p>
    <w:p>
      <w:pPr>
        <w:autoSpaceDE w:val="0"/>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13.诬陷、打击报复考生的；</w:t>
      </w:r>
    </w:p>
    <w:p>
      <w:pPr>
        <w:autoSpaceDE w:val="0"/>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14.其他违反考试组织、监考、命题、评卷等管理规定的行为。</w:t>
      </w:r>
    </w:p>
    <w:p>
      <w:pPr>
        <w:autoSpaceDE w:val="0"/>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四）考试工作人员在考试过程中发生考生违纪、作弊，应及时予以纠正并将当事人姓名、学号、违纪作弊主要情节等如实记录在考场纪录表中，并将用于考试作弊的工具、试卷及其他相关材料一并及时交教科处考务人员或交考生所在院专业系部教学秘书报教科处处理。考场记录表必须由监考人员、巡视人员及违纪作弊考生签字确认。</w:t>
      </w:r>
    </w:p>
    <w:p>
      <w:pPr>
        <w:autoSpaceDE w:val="0"/>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（五）教师在判卷或其他情况下发现违纪问题，应及时将书面报告及相关材料一并交教科处或交考生所在专业系部教学秘书报教科处处理。</w:t>
      </w:r>
    </w:p>
    <w:p>
      <w:pPr>
        <w:autoSpaceDE w:val="0"/>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（六）考试违纪、作弊事件由学校有关部门根据规定进行处理。</w:t>
      </w:r>
    </w:p>
    <w:p>
      <w:pPr>
        <w:autoSpaceDE w:val="0"/>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（七）师生对学院做出的处理决定不服的，可以在处理决定公布之日起15日内，向教科处提出复核申请。教科处在受理复核申请后30日内做出复核结论。</w:t>
      </w:r>
    </w:p>
    <w:p>
      <w:pPr>
        <w:autoSpaceDE w:val="0"/>
        <w:spacing w:line="560" w:lineRule="exact"/>
        <w:ind w:firstLine="643" w:firstLineChars="200"/>
        <w:rPr>
          <w:rFonts w:hint="eastAsia" w:ascii="仿宋" w:hAnsi="仿宋" w:eastAsia="仿宋" w:cs="仿宋"/>
          <w:b/>
          <w:bCs/>
          <w:sz w:val="32"/>
          <w:szCs w:val="32"/>
        </w:rPr>
      </w:pPr>
      <w:r>
        <w:rPr>
          <w:rFonts w:hint="eastAsia" w:ascii="仿宋" w:hAnsi="仿宋" w:eastAsia="仿宋" w:cs="仿宋"/>
          <w:b/>
          <w:bCs/>
          <w:sz w:val="32"/>
          <w:szCs w:val="32"/>
          <w:lang w:eastAsia="zh-CN"/>
        </w:rPr>
        <w:t>三、其它</w:t>
      </w:r>
      <w:r>
        <w:rPr>
          <w:rFonts w:hint="eastAsia" w:ascii="仿宋" w:hAnsi="仿宋" w:eastAsia="仿宋" w:cs="仿宋"/>
          <w:b/>
          <w:bCs/>
          <w:sz w:val="32"/>
          <w:szCs w:val="32"/>
        </w:rPr>
        <w:t xml:space="preserve"> </w:t>
      </w:r>
    </w:p>
    <w:p>
      <w:pPr>
        <w:autoSpaceDE w:val="0"/>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本</w:t>
      </w:r>
      <w:r>
        <w:rPr>
          <w:rFonts w:hint="eastAsia" w:ascii="仿宋" w:hAnsi="仿宋" w:eastAsia="仿宋" w:cs="仿宋"/>
          <w:sz w:val="32"/>
          <w:szCs w:val="32"/>
          <w:lang w:eastAsia="zh-CN"/>
        </w:rPr>
        <w:t>办法</w:t>
      </w:r>
      <w:r>
        <w:rPr>
          <w:rFonts w:hint="eastAsia" w:ascii="仿宋" w:hAnsi="仿宋" w:eastAsia="仿宋" w:cs="仿宋"/>
          <w:sz w:val="32"/>
          <w:szCs w:val="32"/>
        </w:rPr>
        <w:t>自</w:t>
      </w:r>
      <w:r>
        <w:rPr>
          <w:rFonts w:hint="eastAsia" w:ascii="仿宋" w:hAnsi="仿宋" w:eastAsia="仿宋" w:cs="仿宋"/>
          <w:sz w:val="32"/>
          <w:szCs w:val="32"/>
          <w:lang w:val="en-US" w:eastAsia="zh-CN"/>
        </w:rPr>
        <w:t>2018年9月1日</w:t>
      </w:r>
      <w:r>
        <w:rPr>
          <w:rFonts w:hint="eastAsia" w:ascii="仿宋" w:hAnsi="仿宋" w:eastAsia="仿宋" w:cs="仿宋"/>
          <w:sz w:val="32"/>
          <w:szCs w:val="32"/>
        </w:rPr>
        <w:t>起</w:t>
      </w:r>
      <w:r>
        <w:rPr>
          <w:rFonts w:hint="eastAsia" w:ascii="仿宋" w:hAnsi="仿宋" w:eastAsia="仿宋" w:cs="仿宋"/>
          <w:sz w:val="32"/>
          <w:szCs w:val="32"/>
          <w:lang w:eastAsia="zh-CN"/>
        </w:rPr>
        <w:t>开始实施，</w:t>
      </w:r>
      <w:r>
        <w:rPr>
          <w:rFonts w:hint="eastAsia" w:ascii="仿宋" w:hAnsi="仿宋" w:eastAsia="仿宋" w:cs="仿宋"/>
          <w:sz w:val="32"/>
          <w:szCs w:val="32"/>
        </w:rPr>
        <w:t>由教科处负责解释。</w:t>
      </w:r>
    </w:p>
    <w:p>
      <w:pPr>
        <w:autoSpaceDE w:val="0"/>
        <w:spacing w:line="560" w:lineRule="exact"/>
        <w:ind w:firstLine="643" w:firstLineChars="200"/>
        <w:rPr>
          <w:rFonts w:hint="eastAsia" w:ascii="仿宋" w:hAnsi="仿宋" w:eastAsia="仿宋" w:cs="仿宋"/>
          <w:b/>
          <w:bCs/>
          <w:sz w:val="32"/>
          <w:szCs w:val="32"/>
        </w:rPr>
      </w:pPr>
    </w:p>
    <w:p>
      <w:pPr>
        <w:jc w:val="both"/>
        <w:rPr>
          <w:rFonts w:hint="eastAsia" w:ascii="仿宋" w:hAnsi="仿宋" w:eastAsia="仿宋" w:cs="仿宋"/>
          <w:b w:val="0"/>
          <w:bCs w:val="0"/>
          <w:color w:val="auto"/>
          <w:sz w:val="24"/>
          <w:szCs w:val="24"/>
          <w:lang w:val="en-US" w:eastAsia="zh-CN"/>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EFF" w:usb1="C000785B" w:usb2="00000009" w:usb3="00000000" w:csb0="400001FF" w:csb1="FFFF0000"/>
  </w:font>
  <w:font w:name="楷体">
    <w:panose1 w:val="02010609060101010101"/>
    <w:charset w:val="86"/>
    <w:family w:val="auto"/>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wrap="none" lIns="0" tIns="0" rIns="0" bIns="0" upright="0">
                      <a:spAutoFit/>
                    </wps:bodyPr>
                  </wps:wsp>
                </a:graphicData>
              </a:graphic>
            </wp:anchor>
          </w:drawing>
        </mc:Choice>
        <mc:Fallback>
          <w:pict>
            <v:shape id="文本框 1025"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Aj&#10;0coStwEAAFcDAAAOAAAAAAAAAAEAIAAAAB4BAABkcnMvZTJvRG9jLnhtbFBLBQYAAAAABgAGAFkB&#10;AABHBQAAAAA=&#10;">
              <v:fill on="f" focussize="0,0"/>
              <v:stroke on="f"/>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rPr>
        <w:rFonts w:hint="eastAsia" w:ascii="仿宋" w:hAnsi="仿宋" w:eastAsia="仿宋" w:cs="仿宋"/>
        <w:lang w:val="en-US" w:eastAsia="zh-CN"/>
      </w:rPr>
    </w:pPr>
    <w:r>
      <w:rPr>
        <w:rFonts w:hint="eastAsia" w:ascii="仿宋" w:hAnsi="仿宋" w:eastAsia="仿宋" w:cs="仿宋"/>
        <w:lang w:val="en-US" w:eastAsia="zh-CN"/>
      </w:rPr>
      <w:t>海南健康管理职业技术学院 Hainan Health Management College</w:t>
    </w:r>
  </w:p>
  <w:p>
    <w:pPr>
      <w:pStyle w:val="4"/>
      <w:pBdr>
        <w:bottom w:val="double" w:color="auto" w:sz="8" w:space="1"/>
      </w:pBdr>
      <w:rPr>
        <w:rFonts w:hint="eastAsia" w:ascii="仿宋" w:hAnsi="仿宋" w:eastAsia="仿宋" w:cs="仿宋"/>
        <w:lang w:val="en-US" w:eastAsia="zh-CN"/>
      </w:rPr>
    </w:pPr>
    <w:r>
      <w:rPr>
        <w:rFonts w:hint="eastAsia" w:ascii="仿宋" w:hAnsi="仿宋" w:eastAsia="仿宋" w:cs="仿宋"/>
        <w:lang w:val="en-US" w:eastAsia="zh-CN"/>
      </w:rPr>
      <w:t>教科处  考试规范文件之考试违纪</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D7E"/>
    <w:rsid w:val="002C7D7E"/>
    <w:rsid w:val="00487972"/>
    <w:rsid w:val="006E445D"/>
    <w:rsid w:val="01AA2538"/>
    <w:rsid w:val="06D92A23"/>
    <w:rsid w:val="098D2416"/>
    <w:rsid w:val="12940EE0"/>
    <w:rsid w:val="132A684B"/>
    <w:rsid w:val="17231531"/>
    <w:rsid w:val="1A2D48A6"/>
    <w:rsid w:val="2DE464F7"/>
    <w:rsid w:val="2FAA75D1"/>
    <w:rsid w:val="346E3161"/>
    <w:rsid w:val="35A256D4"/>
    <w:rsid w:val="377E40C1"/>
    <w:rsid w:val="38AC6A89"/>
    <w:rsid w:val="3AD8153E"/>
    <w:rsid w:val="3BF4549A"/>
    <w:rsid w:val="40386E25"/>
    <w:rsid w:val="4F130C98"/>
    <w:rsid w:val="50592346"/>
    <w:rsid w:val="552F1312"/>
    <w:rsid w:val="56D30401"/>
    <w:rsid w:val="57AE3314"/>
    <w:rsid w:val="5A0F4597"/>
    <w:rsid w:val="5A37143A"/>
    <w:rsid w:val="5C9C07E1"/>
    <w:rsid w:val="5FED06EE"/>
    <w:rsid w:val="61AC5F7A"/>
    <w:rsid w:val="67555190"/>
    <w:rsid w:val="6D865C12"/>
    <w:rsid w:val="703F0868"/>
    <w:rsid w:val="70B47259"/>
    <w:rsid w:val="71064EDC"/>
    <w:rsid w:val="73263795"/>
    <w:rsid w:val="7401240A"/>
    <w:rsid w:val="748D2CAD"/>
    <w:rsid w:val="78DC39DA"/>
    <w:rsid w:val="78FE264D"/>
    <w:rsid w:val="7BE17746"/>
    <w:rsid w:val="7D5D2E59"/>
    <w:rsid w:val="7FC708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1"/>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character" w:default="1" w:styleId="6">
    <w:name w:val="Default Paragraph Font"/>
    <w:link w:val="7"/>
    <w:semiHidden/>
    <w:unhideWhenUsed/>
    <w:qFormat/>
    <w:uiPriority w:val="1"/>
  </w:style>
  <w:style w:type="table" w:default="1" w:styleId="10">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Calibri" w:hAnsi="Calibri" w:cs="Times New Roman"/>
      <w:kern w:val="2"/>
      <w:sz w:val="21"/>
      <w:szCs w:val="22"/>
    </w:rPr>
    <w:tblPr>
      <w:tblLayout w:type="fixed"/>
      <w:tblCellMar>
        <w:top w:w="0" w:type="dxa"/>
        <w:left w:w="108" w:type="dxa"/>
        <w:bottom w:w="0" w:type="dxa"/>
        <w:right w:w="108" w:type="dxa"/>
      </w:tblCellMar>
    </w:tblPr>
  </w:style>
  <w:style w:type="paragraph" w:styleId="3">
    <w:name w:val="footer"/>
    <w:basedOn w:val="1"/>
    <w:semiHidden/>
    <w:unhideWhenUsed/>
    <w:qFormat/>
    <w:uiPriority w:val="99"/>
    <w:pPr>
      <w:tabs>
        <w:tab w:val="center" w:pos="4153"/>
        <w:tab w:val="right" w:pos="8306"/>
      </w:tabs>
      <w:snapToGrid w:val="0"/>
      <w:jc w:val="left"/>
    </w:pPr>
    <w:rPr>
      <w:sz w:val="18"/>
    </w:rPr>
  </w:style>
  <w:style w:type="paragraph" w:styleId="4">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unhideWhenUsed/>
    <w:qFormat/>
    <w:uiPriority w:val="99"/>
    <w:pPr>
      <w:spacing w:before="100" w:beforeAutospacing="1" w:after="100" w:afterAutospacing="1"/>
      <w:jc w:val="left"/>
    </w:pPr>
    <w:rPr>
      <w:kern w:val="0"/>
      <w:sz w:val="24"/>
      <w:szCs w:val="24"/>
    </w:rPr>
  </w:style>
  <w:style w:type="paragraph" w:customStyle="1" w:styleId="7">
    <w:name w:val="Char"/>
    <w:basedOn w:val="1"/>
    <w:link w:val="6"/>
    <w:qFormat/>
    <w:uiPriority w:val="0"/>
  </w:style>
  <w:style w:type="character" w:styleId="8">
    <w:name w:val="Strong"/>
    <w:basedOn w:val="6"/>
    <w:qFormat/>
    <w:uiPriority w:val="0"/>
    <w:rPr>
      <w:b/>
    </w:rPr>
  </w:style>
  <w:style w:type="character" w:styleId="9">
    <w:name w:val="Hyperlink"/>
    <w:basedOn w:val="6"/>
    <w:semiHidden/>
    <w:unhideWhenUsed/>
    <w:qFormat/>
    <w:uiPriority w:val="99"/>
    <w:rPr>
      <w:color w:val="333333"/>
      <w:u w:val="none"/>
    </w:rPr>
  </w:style>
  <w:style w:type="paragraph" w:customStyle="1" w:styleId="11">
    <w:name w:val="p0"/>
    <w:basedOn w:val="1"/>
    <w:qFormat/>
    <w:uiPriority w:val="0"/>
    <w:pPr>
      <w:widowControl/>
    </w:pPr>
    <w:rPr>
      <w:kern w:val="0"/>
    </w:rPr>
  </w:style>
  <w:style w:type="paragraph" w:styleId="12">
    <w:name w:val="List Paragraph"/>
    <w:basedOn w:val="1"/>
    <w:qFormat/>
    <w:uiPriority w:val="34"/>
    <w:pPr>
      <w:ind w:left="480" w:leftChars="200"/>
    </w:pPr>
  </w:style>
  <w:style w:type="character" w:customStyle="1" w:styleId="13">
    <w:name w:val="15"/>
    <w:basedOn w:val="6"/>
    <w:qFormat/>
    <w:uiPriority w:val="0"/>
    <w:rPr>
      <w:rFonts w:hint="eastAsia" w:ascii="宋体" w:hAnsi="宋体" w:eastAsia="宋体"/>
      <w:color w:val="000000"/>
      <w:sz w:val="24"/>
      <w:szCs w:val="24"/>
    </w:rPr>
  </w:style>
  <w:style w:type="paragraph" w:customStyle="1" w:styleId="14">
    <w:name w:val="样式1"/>
    <w:basedOn w:val="2"/>
    <w:qFormat/>
    <w:uiPriority w:val="0"/>
    <w:pPr>
      <w:keepLines w:val="0"/>
      <w:spacing w:before="100" w:beforeAutospacing="1" w:after="0" w:line="360" w:lineRule="auto"/>
      <w:jc w:val="center"/>
    </w:pPr>
    <w:rPr>
      <w:kern w:val="2"/>
      <w:sz w:val="36"/>
      <w:szCs w:val="36"/>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678</Words>
  <Characters>3870</Characters>
  <Lines>32</Lines>
  <Paragraphs>9</Paragraphs>
  <TotalTime>2</TotalTime>
  <ScaleCrop>false</ScaleCrop>
  <LinksUpToDate>false</LinksUpToDate>
  <CharactersWithSpaces>4539</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2018-01-28T07:19:00Z</dcterms:created>
  <dc:creator>Administrator</dc:creator>
  <cp:lastModifiedBy>yinzhen</cp:lastModifiedBy>
  <cp:lastPrinted>2018-05-08T02:53:00Z</cp:lastPrinted>
  <dcterms:modified xsi:type="dcterms:W3CDTF">2018-09-11T04:19:21Z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