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napToGrid w:val="0"/>
        <w:spacing w:before="0" w:beforeAutospacing="0" w:after="0" w:afterAutospacing="0" w:line="240" w:lineRule="auto"/>
        <w:ind w:left="0" w:right="0"/>
        <w:jc w:val="both"/>
        <w:rPr>
          <w:rFonts w:hint="eastAsia" w:ascii="方正小标宋_GBK" w:hAnsi="方正小标宋_GBK" w:eastAsia="方正小标宋_GBK" w:cs="方正小标宋_GBK"/>
          <w:color w:val="FF0000"/>
          <w:sz w:val="52"/>
          <w:szCs w:val="52"/>
          <w:lang w:eastAsia="zh-CN"/>
        </w:rPr>
      </w:pPr>
      <w:r>
        <w:rPr>
          <w:rFonts w:hint="eastAsia" w:ascii="仿宋_GB2312" w:hAnsi="Arial" w:eastAsia="仿宋_GB2312" w:cs="仿宋_GB2312"/>
          <w:color w:val="000000"/>
          <w:sz w:val="32"/>
          <w:szCs w:val="32"/>
          <w:lang w:val="en-US" w:eastAsia="zh-CN"/>
        </w:rPr>
        <w:t>附件1</w:t>
      </w:r>
      <w:r>
        <w:rPr>
          <w:rFonts w:hint="eastAsia" w:ascii="仿宋_GB2312" w:hAnsi="Arial" w:eastAsia="仿宋_GB2312" w:cs="仿宋_GB2312"/>
          <w:color w:val="000000"/>
          <w:sz w:val="24"/>
          <w:szCs w:val="24"/>
          <w:lang w:val="en-US" w:eastAsia="zh-CN"/>
        </w:rPr>
        <w:t xml:space="preserve">  ：</w:t>
      </w:r>
      <w:r>
        <w:rPr>
          <w:rFonts w:hint="eastAsia" w:ascii="方正小标宋_GBK" w:hAnsi="方正小标宋_GBK" w:eastAsia="方正小标宋_GBK" w:cs="方正小标宋_GBK"/>
          <w:color w:val="FF0000"/>
          <w:sz w:val="52"/>
          <w:szCs w:val="52"/>
          <w:lang w:eastAsia="zh-CN"/>
        </w:rPr>
        <w:tab/>
      </w:r>
    </w:p>
    <w:p>
      <w:pPr>
        <w:pStyle w:val="2"/>
        <w:keepNext w:val="0"/>
        <w:keepLines w:val="0"/>
        <w:widowControl/>
        <w:suppressLineNumbers w:val="0"/>
        <w:wordWrap w:val="0"/>
        <w:snapToGrid w:val="0"/>
        <w:spacing w:before="0" w:beforeAutospacing="0" w:after="0" w:afterAutospacing="0" w:line="240" w:lineRule="auto"/>
        <w:ind w:left="0" w:right="0" w:firstLine="2080" w:firstLineChars="400"/>
        <w:jc w:val="both"/>
        <w:rPr>
          <w:sz w:val="18"/>
          <w:szCs w:val="18"/>
        </w:rPr>
      </w:pPr>
      <w:r>
        <w:rPr>
          <w:rFonts w:ascii="方正小标宋_GBK" w:hAnsi="方正小标宋_GBK" w:eastAsia="方正小标宋_GBK" w:cs="方正小标宋_GBK"/>
          <w:color w:val="FF0000"/>
          <w:sz w:val="52"/>
          <w:szCs w:val="52"/>
        </w:rPr>
        <w:t>海南省教育厅文件</w:t>
      </w:r>
    </w:p>
    <w:p>
      <w:pPr>
        <w:pStyle w:val="2"/>
        <w:keepNext w:val="0"/>
        <w:keepLines w:val="0"/>
        <w:widowControl/>
        <w:suppressLineNumbers w:val="0"/>
        <w:wordWrap w:val="0"/>
        <w:snapToGrid w:val="0"/>
        <w:spacing w:before="0" w:beforeAutospacing="0" w:after="0" w:afterAutospacing="0" w:line="600" w:lineRule="atLeast"/>
        <w:ind w:left="0" w:right="0"/>
        <w:jc w:val="center"/>
        <w:rPr>
          <w:sz w:val="18"/>
          <w:szCs w:val="18"/>
        </w:rPr>
      </w:pPr>
      <w:r>
        <w:rPr>
          <w:rFonts w:ascii="仿宋_GB2312" w:eastAsia="仿宋_GB2312" w:cs="仿宋_GB2312"/>
          <w:color w:val="000000"/>
          <w:sz w:val="32"/>
          <w:szCs w:val="32"/>
        </w:rPr>
        <w:t>琼教</w:t>
      </w:r>
      <w:r>
        <w:rPr>
          <w:rFonts w:hint="default" w:ascii="仿宋_GB2312" w:eastAsia="仿宋_GB2312" w:cs="仿宋_GB2312"/>
          <w:color w:val="000000"/>
          <w:sz w:val="32"/>
          <w:szCs w:val="32"/>
        </w:rPr>
        <w:t>高〔2018〕216号</w:t>
      </w:r>
    </w:p>
    <w:p>
      <w:pPr>
        <w:pStyle w:val="2"/>
        <w:keepNext w:val="0"/>
        <w:keepLines w:val="0"/>
        <w:widowControl/>
        <w:suppressLineNumbers w:val="0"/>
        <w:wordWrap w:val="0"/>
        <w:snapToGrid w:val="0"/>
        <w:spacing w:before="0" w:beforeAutospacing="0" w:after="0" w:afterAutospacing="0" w:line="400" w:lineRule="atLeast"/>
        <w:ind w:left="0" w:right="0"/>
        <w:jc w:val="left"/>
        <w:rPr>
          <w:sz w:val="18"/>
          <w:szCs w:val="18"/>
        </w:rPr>
      </w:pPr>
      <w:r>
        <w:rPr>
          <w:snapToGrid w:val="0"/>
          <w:color w:val="000000"/>
          <w:sz w:val="18"/>
          <w:szCs w:val="18"/>
        </w:rPr>
        <w:t> </w:t>
      </w:r>
    </w:p>
    <w:p>
      <w:pPr>
        <w:pStyle w:val="2"/>
        <w:keepNext w:val="0"/>
        <w:keepLines w:val="0"/>
        <w:widowControl/>
        <w:suppressLineNumbers w:val="0"/>
        <w:wordWrap w:val="0"/>
        <w:snapToGrid w:val="0"/>
        <w:spacing w:before="0" w:beforeAutospacing="0" w:after="0" w:afterAutospacing="0" w:line="600" w:lineRule="auto"/>
        <w:ind w:left="0" w:right="0"/>
        <w:jc w:val="left"/>
        <w:rPr>
          <w:sz w:val="18"/>
          <w:szCs w:val="18"/>
        </w:rPr>
      </w:pPr>
      <w:r>
        <w:rPr>
          <w:snapToGrid w:val="0"/>
          <w:color w:val="000000"/>
          <w:sz w:val="18"/>
          <w:szCs w:val="18"/>
        </w:rPr>
        <w:t> </w:t>
      </w:r>
    </w:p>
    <w:p>
      <w:pPr>
        <w:pStyle w:val="2"/>
        <w:keepNext w:val="0"/>
        <w:keepLines w:val="0"/>
        <w:widowControl/>
        <w:suppressLineNumbers w:val="0"/>
        <w:wordWrap w:val="0"/>
        <w:snapToGrid w:val="0"/>
        <w:spacing w:before="0" w:beforeAutospacing="0" w:after="0" w:afterAutospacing="0" w:line="600" w:lineRule="auto"/>
        <w:ind w:left="0" w:right="0"/>
        <w:jc w:val="center"/>
        <w:rPr>
          <w:rFonts w:hint="default" w:ascii="方正小标宋_GBK" w:hAnsi="方正小标宋_GBK" w:eastAsia="方正小标宋_GBK" w:cs="方正小标宋_GBK"/>
          <w:color w:val="000000"/>
          <w:spacing w:val="0"/>
          <w:sz w:val="32"/>
          <w:szCs w:val="32"/>
        </w:rPr>
      </w:pPr>
      <w:bookmarkStart w:id="0" w:name="_GoBack"/>
      <w:r>
        <w:rPr>
          <w:rFonts w:hint="default" w:ascii="方正小标宋_GBK" w:hAnsi="方正小标宋_GBK" w:eastAsia="方正小标宋_GBK" w:cs="方正小标宋_GBK"/>
          <w:b w:val="0"/>
          <w:color w:val="000000"/>
          <w:spacing w:val="0"/>
          <w:sz w:val="32"/>
          <w:szCs w:val="32"/>
        </w:rPr>
        <w:t>海南省教育厅</w:t>
      </w:r>
      <w:r>
        <w:rPr>
          <w:rFonts w:hint="default" w:ascii="方正小标宋_GBK" w:hAnsi="方正小标宋_GBK" w:eastAsia="方正小标宋_GBK" w:cs="方正小标宋_GBK"/>
          <w:color w:val="000000"/>
          <w:spacing w:val="0"/>
          <w:sz w:val="32"/>
          <w:szCs w:val="32"/>
        </w:rPr>
        <w:t>关于开展2019年度</w:t>
      </w:r>
    </w:p>
    <w:p>
      <w:pPr>
        <w:pStyle w:val="2"/>
        <w:keepNext w:val="0"/>
        <w:keepLines w:val="0"/>
        <w:widowControl/>
        <w:suppressLineNumbers w:val="0"/>
        <w:wordWrap w:val="0"/>
        <w:snapToGrid w:val="0"/>
        <w:spacing w:before="0" w:beforeAutospacing="0" w:after="0" w:afterAutospacing="0" w:line="600" w:lineRule="auto"/>
        <w:ind w:left="0" w:right="0"/>
        <w:jc w:val="center"/>
        <w:rPr>
          <w:rFonts w:hint="default" w:ascii="方正小标宋_GBK" w:hAnsi="方正小标宋_GBK" w:eastAsia="方正小标宋_GBK" w:cs="方正小标宋_GBK"/>
          <w:color w:val="000000"/>
          <w:spacing w:val="0"/>
          <w:sz w:val="32"/>
          <w:szCs w:val="32"/>
        </w:rPr>
      </w:pPr>
      <w:r>
        <w:rPr>
          <w:rFonts w:hint="default" w:ascii="方正小标宋_GBK" w:hAnsi="方正小标宋_GBK" w:eastAsia="方正小标宋_GBK" w:cs="方正小标宋_GBK"/>
          <w:color w:val="000000"/>
          <w:spacing w:val="0"/>
          <w:sz w:val="32"/>
          <w:szCs w:val="32"/>
        </w:rPr>
        <w:t>海南省高等学校教育教学改革研究项目</w:t>
      </w:r>
    </w:p>
    <w:p>
      <w:pPr>
        <w:pStyle w:val="2"/>
        <w:keepNext w:val="0"/>
        <w:keepLines w:val="0"/>
        <w:widowControl/>
        <w:suppressLineNumbers w:val="0"/>
        <w:wordWrap w:val="0"/>
        <w:snapToGrid w:val="0"/>
        <w:spacing w:before="0" w:beforeAutospacing="0" w:after="0" w:afterAutospacing="0" w:line="600" w:lineRule="auto"/>
        <w:ind w:left="0" w:right="0"/>
        <w:jc w:val="center"/>
        <w:rPr>
          <w:sz w:val="18"/>
          <w:szCs w:val="18"/>
        </w:rPr>
      </w:pPr>
      <w:r>
        <w:rPr>
          <w:rFonts w:hint="default" w:ascii="方正小标宋_GBK" w:hAnsi="方正小标宋_GBK" w:eastAsia="方正小标宋_GBK" w:cs="方正小标宋_GBK"/>
          <w:color w:val="000000"/>
          <w:spacing w:val="0"/>
          <w:sz w:val="32"/>
          <w:szCs w:val="32"/>
        </w:rPr>
        <w:t>申报工作的通知</w:t>
      </w:r>
      <w:r>
        <w:rPr>
          <w:snapToGrid w:val="0"/>
          <w:color w:val="000000"/>
          <w:sz w:val="18"/>
          <w:szCs w:val="18"/>
        </w:rPr>
        <w:t> </w:t>
      </w:r>
    </w:p>
    <w:bookmarkEnd w:id="0"/>
    <w:p>
      <w:pPr>
        <w:pStyle w:val="2"/>
        <w:keepNext w:val="0"/>
        <w:keepLines w:val="0"/>
        <w:widowControl/>
        <w:suppressLineNumbers w:val="0"/>
        <w:wordWrap w:val="0"/>
        <w:snapToGrid w:val="0"/>
        <w:spacing w:before="0" w:beforeAutospacing="0" w:after="0" w:afterAutospacing="0" w:line="600" w:lineRule="auto"/>
        <w:ind w:left="0" w:right="0"/>
        <w:jc w:val="left"/>
        <w:rPr>
          <w:rFonts w:hint="eastAsia" w:ascii="宋体" w:hAnsi="宋体" w:eastAsia="宋体" w:cs="宋体"/>
          <w:sz w:val="15"/>
          <w:szCs w:val="15"/>
        </w:rPr>
      </w:pPr>
      <w:r>
        <w:rPr>
          <w:rFonts w:hint="eastAsia" w:ascii="宋体" w:hAnsi="宋体" w:eastAsia="宋体" w:cs="宋体"/>
          <w:color w:val="000000"/>
          <w:sz w:val="24"/>
          <w:szCs w:val="24"/>
        </w:rPr>
        <w:t>各高等学校：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为了进一步加强我省高等教育内涵建设，强化教学基础地位，深化教学改革,培育优秀教育教学成果并发挥示范引领作用，提升人才培养质量，我厅决定开展2019年度海南省高等学校教育教学改革研究项目申报工作。现就有关事项通知如下:</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一、申报领域</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教育教学改革研究。</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二、项目申请人资格条件</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（一）申请人须为我省高等学校在职教师、研究人员和管理人员;</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二）一般项目申请人须具备中级（含中级）以上专业技术职务或硕士以上学位，不具备中级以上专业技术职务的，须有两名副高以上专业技术职务的同行专家书面推荐;重点项目申请人须具备高级以上专业技术职务且申报时年龄不超过60岁；</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（三）为保证项目完成质量，申请人只能申请一个项目，但可以作为项目组成员参加另一个项目的申请；</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（四）历年立项未结题和被撤项的海南省高等学校教育教学改革研究项目、科学研究项目的负责人（自撤项发文之日起3年内）不能再申报此类项目；</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（五）己在其他部门申请立项或已立项的项目不能再重复申报此类项目；</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（六）申请人只能从海南省高等学校教育教学改革研究项目和科学研究项目中选择一类进行申报。</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三、项目层次、立项、申报数额</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2019年度海南省高等学校教育教学改革研究项目分重点项目和一般项目两个层次，申请人只可选择其中一类进行申报，评审时重点项目与一般项目分开评审，重点项目落选将不参与一般项目评审。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2019年海南省高等学校教育教学改革研究项目拟立项150项，其中重点项目30项，一般项目120项。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各校项目申报采取限额推荐的方式进行，重点项目和一般项目申报推荐数额由学校统筹，各校推荐项目数额如下：</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（一）本科高校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海南大学        50项（其中热带农林学院不少于10项）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海南师范大学    </w:t>
      </w:r>
      <w:r>
        <w:rPr>
          <w:rFonts w:hint="eastAsia" w:ascii="宋体" w:hAnsi="宋体" w:eastAsia="宋体" w:cs="宋体"/>
          <w:snapToGrid w:val="0"/>
          <w:color w:val="000000"/>
          <w:sz w:val="15"/>
          <w:szCs w:val="15"/>
        </w:rPr>
        <w:t> </w:t>
      </w:r>
      <w:r>
        <w:rPr>
          <w:rFonts w:hint="eastAsia" w:ascii="宋体" w:hAnsi="宋体" w:eastAsia="宋体" w:cs="宋体"/>
          <w:color w:val="000000"/>
          <w:sz w:val="24"/>
          <w:szCs w:val="24"/>
        </w:rPr>
        <w:t>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海南医学院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45项（其中附属海南医院（省人民医院）10项，附属第一医院7项，附属第二医院5项）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海南热带海洋学院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20项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三亚学院        15项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海口经济学院     </w:t>
      </w:r>
      <w:r>
        <w:rPr>
          <w:rFonts w:hint="eastAsia" w:ascii="宋体" w:hAnsi="宋体" w:eastAsia="宋体" w:cs="宋体"/>
          <w:snapToGrid w:val="0"/>
          <w:color w:val="000000"/>
          <w:sz w:val="15"/>
          <w:szCs w:val="15"/>
        </w:rPr>
        <w:t>  </w:t>
      </w:r>
      <w:r>
        <w:rPr>
          <w:rFonts w:hint="eastAsia" w:ascii="宋体" w:hAnsi="宋体" w:eastAsia="宋体" w:cs="宋体"/>
          <w:color w:val="000000"/>
          <w:sz w:val="24"/>
          <w:szCs w:val="24"/>
        </w:rPr>
        <w:t>15项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琼台师范学院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10项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（二）成人高校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海南广播电视大学     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（三）高职院校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海南职业技术学院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10项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海南经贸职业技术学院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10项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海南软件职业技术学院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8项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海南外国语职业学院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8项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海南政法职业学院     </w:t>
      </w:r>
      <w:r>
        <w:rPr>
          <w:rFonts w:hint="eastAsia" w:ascii="宋体" w:hAnsi="宋体" w:eastAsia="宋体" w:cs="宋体"/>
          <w:snapToGrid w:val="0"/>
          <w:color w:val="000000"/>
          <w:sz w:val="15"/>
          <w:szCs w:val="15"/>
        </w:rPr>
        <w:t> </w:t>
      </w:r>
      <w:r>
        <w:rPr>
          <w:rFonts w:hint="eastAsia" w:ascii="宋体" w:hAnsi="宋体" w:eastAsia="宋体" w:cs="宋体"/>
          <w:snapToGrid w:val="0"/>
          <w:color w:val="000000"/>
          <w:sz w:val="15"/>
          <w:szCs w:val="15"/>
          <w:lang w:val="en-US" w:eastAsia="zh-CN"/>
        </w:rPr>
        <w:t xml:space="preserve">   </w:t>
      </w:r>
      <w:r>
        <w:rPr>
          <w:rFonts w:hint="eastAsia" w:ascii="宋体" w:hAnsi="宋体" w:eastAsia="宋体" w:cs="宋体"/>
          <w:color w:val="000000"/>
          <w:sz w:val="24"/>
          <w:szCs w:val="24"/>
        </w:rPr>
        <w:t>8项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三亚城市职业学院    </w:t>
      </w:r>
      <w:r>
        <w:rPr>
          <w:rFonts w:hint="eastAsia" w:ascii="宋体" w:hAnsi="宋体" w:eastAsia="宋体" w:cs="宋体"/>
          <w:snapToGrid w:val="0"/>
          <w:color w:val="000000"/>
          <w:sz w:val="15"/>
          <w:szCs w:val="15"/>
        </w:rPr>
        <w:t>   </w:t>
      </w:r>
      <w:r>
        <w:rPr>
          <w:rFonts w:hint="eastAsia" w:ascii="宋体" w:hAnsi="宋体" w:eastAsia="宋体" w:cs="宋体"/>
          <w:snapToGrid w:val="0"/>
          <w:color w:val="000000"/>
          <w:sz w:val="15"/>
          <w:szCs w:val="15"/>
          <w:lang w:val="en-US" w:eastAsia="zh-CN"/>
        </w:rPr>
        <w:t xml:space="preserve">  </w:t>
      </w:r>
      <w:r>
        <w:rPr>
          <w:rFonts w:hint="eastAsia" w:ascii="宋体" w:hAnsi="宋体" w:eastAsia="宋体" w:cs="宋体"/>
          <w:color w:val="000000"/>
          <w:sz w:val="24"/>
          <w:szCs w:val="24"/>
        </w:rPr>
        <w:t>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海南工商职业学院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三亚航空旅游职业学院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海南科技职业学院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8项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三亚理工职业学院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snapToGrid w:val="0"/>
          <w:color w:val="000000"/>
          <w:sz w:val="15"/>
          <w:szCs w:val="15"/>
        </w:rPr>
        <w:t> </w:t>
      </w:r>
      <w:r>
        <w:rPr>
          <w:rFonts w:hint="eastAsia" w:ascii="宋体" w:hAnsi="宋体" w:eastAsia="宋体" w:cs="宋体"/>
          <w:color w:val="000000"/>
          <w:sz w:val="24"/>
          <w:szCs w:val="24"/>
        </w:rPr>
        <w:t>5项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海南体育职业技术学院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3项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三亚中瑞酒店管理职业学院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3项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海南健康管理职业学院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2项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四、申报要求</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（一）申报需严格按照指南（详见附件）进行，指南外项目原则上不予立项；</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（二）鼓励一线教师，尤其是中青年教师积极承担或参与教改项目研究，各高校申报项目中一线教师主持的项目不得少于总数的60%；</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（三）项目要从我省高等教育教学的实际出发，注重系统研究、整体优化、综合实践，要有一定的推广性；</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（四）已立项研究较多，或已有较为成熟研究成果的，如无新思想、新发展的，不再申报。</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五、项目申报的程序</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（一）项目实行网络申报，申报网址：124.225.62.14（建议使用火狐浏览器），网络申报须在2018年10月31日前完成；</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（二）各高校对申报项目进行形式审查，审查合格后择优推荐上报；</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请各高校于2018年11月12日前将《海南省高等学校教育教学改革研究项目申请书》（以下简称《申请书》，可在海南省高等教育网www.edu.hainan.gov.cn/hngjw/下载）一式1份、在线打印《2019年度海南省高等学校教育教学改革研究项目申报汇总表》一式1份并加盖公章后报送我厅高等教育处（海口市国兴大道9号省政府办公楼417室）。</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联系人：梁俊，联系电话：65339364。</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六、项目评审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项目评审时间拟定于2018年12月进行，评审工作由省教育厅负责组织。经专家评审拟同意立项的项目，由省教育厅审核后发文公布。</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七、其他要求</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（一）各高校按通知要求认真做好项目申报工作，要广泛宣传动员，做好形式审查，充分发挥校教学委员会（或学术委员会）作用，严格把关，做到宁缺勿滥；</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（二）项目申请人要认真如实填写《申请书》，确保资料的真实准确性；</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（三）我厅不受理个人直接报送的《申请书》；</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sz w:val="15"/>
          <w:szCs w:val="15"/>
        </w:rPr>
      </w:pPr>
      <w:r>
        <w:rPr>
          <w:rFonts w:hint="eastAsia" w:ascii="宋体" w:hAnsi="宋体" w:eastAsia="宋体" w:cs="宋体"/>
          <w:color w:val="000000"/>
          <w:sz w:val="24"/>
          <w:szCs w:val="24"/>
        </w:rPr>
        <w:t>（四）获得批准立项的项目研究时限一般为3年，研究开始时间统一写成2019年1月；</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color w:val="000000"/>
          <w:sz w:val="24"/>
          <w:szCs w:val="24"/>
        </w:rPr>
      </w:pPr>
      <w:r>
        <w:rPr>
          <w:rFonts w:hint="eastAsia" w:ascii="宋体" w:hAnsi="宋体" w:eastAsia="宋体" w:cs="宋体"/>
          <w:color w:val="000000"/>
          <w:sz w:val="24"/>
          <w:szCs w:val="24"/>
        </w:rPr>
        <w:t>（五）项目负责人在项目研究期间，要遵守各项承诺，履行约定义务，按期完成研究任务</w:t>
      </w:r>
    </w:p>
    <w:p>
      <w:pPr>
        <w:pStyle w:val="2"/>
        <w:keepNext w:val="0"/>
        <w:keepLines w:val="0"/>
        <w:widowControl/>
        <w:suppressLineNumbers w:val="0"/>
        <w:wordWrap w:val="0"/>
        <w:snapToGrid w:val="0"/>
        <w:spacing w:before="0" w:beforeAutospacing="0" w:after="0" w:afterAutospacing="0" w:line="620" w:lineRule="atLeast"/>
        <w:ind w:left="0" w:right="0" w:firstLine="640"/>
        <w:jc w:val="both"/>
        <w:rPr>
          <w:rFonts w:hint="eastAsia" w:ascii="宋体" w:hAnsi="宋体" w:eastAsia="宋体" w:cs="宋体"/>
          <w:color w:val="000000"/>
          <w:sz w:val="24"/>
          <w:szCs w:val="24"/>
        </w:rPr>
      </w:pPr>
      <w:r>
        <w:rPr>
          <w:rFonts w:hint="eastAsia" w:ascii="宋体" w:hAnsi="宋体" w:eastAsia="宋体" w:cs="宋体"/>
          <w:color w:val="000000"/>
          <w:sz w:val="24"/>
          <w:szCs w:val="24"/>
        </w:rPr>
        <w:t>附件：2019年度海南省高等学校教育教学改革研究项目立项指南                       </w:t>
      </w:r>
    </w:p>
    <w:p>
      <w:pPr>
        <w:pStyle w:val="2"/>
        <w:keepNext w:val="0"/>
        <w:keepLines w:val="0"/>
        <w:widowControl/>
        <w:suppressLineNumbers w:val="0"/>
        <w:tabs>
          <w:tab w:val="left" w:pos="628"/>
        </w:tabs>
        <w:wordWrap w:val="0"/>
        <w:snapToGrid w:val="0"/>
        <w:spacing w:before="0" w:beforeAutospacing="0" w:after="0" w:afterAutospacing="0" w:line="600" w:lineRule="atLeast"/>
        <w:ind w:right="0" w:firstLine="1200" w:firstLineChars="500"/>
        <w:jc w:val="both"/>
        <w:rPr>
          <w:rFonts w:hint="eastAsia" w:ascii="宋体" w:hAnsi="宋体" w:eastAsia="宋体" w:cs="宋体"/>
          <w:sz w:val="15"/>
          <w:szCs w:val="15"/>
        </w:rPr>
      </w:pPr>
      <w:r>
        <w:rPr>
          <w:rFonts w:hint="eastAsia" w:ascii="宋体" w:hAnsi="宋体" w:eastAsia="宋体" w:cs="宋体"/>
          <w:color w:val="000000"/>
          <w:sz w:val="24"/>
          <w:szCs w:val="24"/>
          <w:lang w:eastAsia="zh-CN"/>
        </w:rPr>
        <w:tab/>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海南省教育厅</w:t>
      </w:r>
    </w:p>
    <w:p>
      <w:pPr>
        <w:pStyle w:val="2"/>
        <w:keepNext w:val="0"/>
        <w:keepLines w:val="0"/>
        <w:widowControl/>
        <w:suppressLineNumbers w:val="0"/>
        <w:wordWrap w:val="0"/>
        <w:snapToGrid w:val="0"/>
        <w:spacing w:before="0" w:beforeAutospacing="0" w:after="0" w:afterAutospacing="0" w:line="600" w:lineRule="auto"/>
        <w:ind w:left="0" w:right="0"/>
        <w:jc w:val="left"/>
        <w:rPr>
          <w:rFonts w:hint="eastAsia" w:ascii="黑体" w:hAnsi="宋体" w:eastAsia="黑体" w:cs="黑体"/>
          <w:color w:val="000000"/>
          <w:sz w:val="32"/>
          <w:szCs w:val="32"/>
        </w:rPr>
      </w:pPr>
      <w:r>
        <w:rPr>
          <w:rFonts w:hint="eastAsia" w:ascii="宋体" w:hAnsi="宋体" w:eastAsia="宋体" w:cs="宋体"/>
          <w:color w:val="000000"/>
          <w:sz w:val="24"/>
          <w:szCs w:val="24"/>
        </w:rPr>
        <w:t>                 2018年9月11日</w:t>
      </w:r>
    </w:p>
    <w:p>
      <w:pPr>
        <w:pStyle w:val="2"/>
        <w:keepNext w:val="0"/>
        <w:keepLines w:val="0"/>
        <w:widowControl/>
        <w:suppressLineNumbers w:val="0"/>
        <w:wordWrap w:val="0"/>
        <w:snapToGrid w:val="0"/>
        <w:spacing w:before="0" w:beforeAutospacing="0" w:after="0" w:afterAutospacing="0" w:line="600" w:lineRule="auto"/>
        <w:ind w:left="0" w:right="0"/>
        <w:jc w:val="left"/>
        <w:rPr>
          <w:rFonts w:hint="eastAsia" w:eastAsiaTheme="minorEastAsia"/>
          <w:sz w:val="18"/>
          <w:szCs w:val="18"/>
          <w:lang w:eastAsia="zh-CN"/>
        </w:rPr>
      </w:pPr>
      <w:r>
        <w:rPr>
          <w:rFonts w:hint="eastAsia" w:ascii="黑体" w:hAnsi="宋体" w:eastAsia="黑体" w:cs="黑体"/>
          <w:color w:val="000000"/>
          <w:sz w:val="32"/>
          <w:szCs w:val="32"/>
        </w:rPr>
        <w:t>附件</w:t>
      </w:r>
      <w:r>
        <w:rPr>
          <w:rFonts w:hint="eastAsia" w:ascii="黑体" w:hAnsi="宋体" w:eastAsia="黑体" w:cs="黑体"/>
          <w:color w:val="000000"/>
          <w:sz w:val="32"/>
          <w:szCs w:val="32"/>
          <w:lang w:val="en-US" w:eastAsia="zh-CN"/>
        </w:rPr>
        <w:t>1-1</w:t>
      </w:r>
      <w:r>
        <w:rPr>
          <w:snapToGrid w:val="0"/>
          <w:color w:val="000000"/>
          <w:sz w:val="18"/>
          <w:szCs w:val="18"/>
        </w:rPr>
        <w:t> </w:t>
      </w:r>
      <w:r>
        <w:rPr>
          <w:rFonts w:hint="eastAsia"/>
          <w:snapToGrid w:val="0"/>
          <w:color w:val="000000"/>
          <w:sz w:val="18"/>
          <w:szCs w:val="18"/>
          <w:lang w:eastAsia="zh-CN"/>
        </w:rPr>
        <w:t>：</w:t>
      </w:r>
    </w:p>
    <w:p>
      <w:pPr>
        <w:pStyle w:val="2"/>
        <w:keepNext w:val="0"/>
        <w:keepLines w:val="0"/>
        <w:widowControl/>
        <w:suppressLineNumbers w:val="0"/>
        <w:wordWrap w:val="0"/>
        <w:snapToGrid w:val="0"/>
        <w:spacing w:before="0" w:beforeAutospacing="0" w:after="0" w:afterAutospacing="0" w:line="600" w:lineRule="auto"/>
        <w:ind w:left="0" w:right="0"/>
        <w:jc w:val="center"/>
        <w:rPr>
          <w:sz w:val="15"/>
          <w:szCs w:val="15"/>
        </w:rPr>
      </w:pPr>
      <w:r>
        <w:rPr>
          <w:rFonts w:hint="default" w:ascii="方正小标宋_GBK" w:hAnsi="方正小标宋_GBK" w:eastAsia="方正小标宋_GBK" w:cs="方正小标宋_GBK"/>
          <w:color w:val="000000"/>
          <w:sz w:val="36"/>
          <w:szCs w:val="36"/>
        </w:rPr>
        <w:t>2019年度海南省高等学校教育教学改革</w:t>
      </w:r>
    </w:p>
    <w:p>
      <w:pPr>
        <w:pStyle w:val="2"/>
        <w:keepNext w:val="0"/>
        <w:keepLines w:val="0"/>
        <w:widowControl/>
        <w:suppressLineNumbers w:val="0"/>
        <w:wordWrap w:val="0"/>
        <w:snapToGrid w:val="0"/>
        <w:spacing w:before="0" w:beforeAutospacing="0" w:after="0" w:afterAutospacing="0" w:line="600" w:lineRule="auto"/>
        <w:ind w:left="0" w:right="0"/>
        <w:jc w:val="center"/>
        <w:rPr>
          <w:sz w:val="18"/>
          <w:szCs w:val="18"/>
        </w:rPr>
      </w:pPr>
      <w:r>
        <w:rPr>
          <w:rFonts w:hint="default" w:ascii="方正小标宋_GBK" w:hAnsi="方正小标宋_GBK" w:eastAsia="方正小标宋_GBK" w:cs="方正小标宋_GBK"/>
          <w:color w:val="000000"/>
          <w:sz w:val="36"/>
          <w:szCs w:val="36"/>
        </w:rPr>
        <w:t>研究项目立项指南</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一、高等教育发展战略研究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1.海南省地方本科院校转型发展研究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2.海南高等教育人才培养适应区域经济发展研究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3.海南省高等教育人才培养布局与结构调整研究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4.海南省高等学校办学定位与特色发展研究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5.海南省高等学校核心竞争力研究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6.海南省高等学校分类指导研究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7.海南省高等学校专业结构布局与调整研究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8.示范性（骨干）高等职业院校建设的研究与实践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9.高职高专校企合作办学模式研究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color w:val="000000"/>
          <w:sz w:val="16"/>
          <w:szCs w:val="16"/>
        </w:rPr>
        <w:drawing>
          <wp:inline distT="0" distB="0" distL="114300" distR="114300">
            <wp:extent cx="47625" cy="38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 cy="38100"/>
                    </a:xfrm>
                    <a:prstGeom prst="rect">
                      <a:avLst/>
                    </a:prstGeom>
                    <a:noFill/>
                    <a:ln w="9525">
                      <a:noFill/>
                    </a:ln>
                  </pic:spPr>
                </pic:pic>
              </a:graphicData>
            </a:graphic>
          </wp:inline>
        </w:drawing>
      </w:r>
      <w:r>
        <w:rPr>
          <w:rFonts w:hint="default" w:ascii="仿宋_GB2312" w:eastAsia="仿宋_GB2312" w:cs="仿宋_GB2312"/>
          <w:color w:val="000000"/>
          <w:sz w:val="28"/>
          <w:szCs w:val="28"/>
        </w:rPr>
        <w:t>10.高校办学自主权研究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11.省委大研讨、大行动涉及高等教育重大发展改革内容</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二、人才培养模式改革与创新</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1.高校大学生创新创业教育的研究与实践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2.高等学校人才培养合作模式探索与实践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3.拔尖创新人才培养的研究与实践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4.实施“卓越工程师培养计划”及其他领域应用型卓越人才培养的研究与实践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5.不同层次、不同类型院校人才培养模式的研究与实践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6.产学研用合作人才培养模式的研究与实践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7.高职技术技能型人才培养模式的研究与实践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8.专业硕士人才培养模式的研究与实践 </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9.高等教育各类职业教育人才衔接培养模式研究与实践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10.各类职业教育人才培养与招生试点项目专业一体化人才培养方案研究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11.现代学徒制研究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三、专业、课程建设与改革</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1.基于区域经济社会发展或产业结构调整的高等学校专业设置及动态调整机制的探索研究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2.高等学校专业办学水平评估研究与实践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3.专业课程体系与教学内容整体优化研究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4.高等学校特色专业、精品课程建设研究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5.基于行业标准的课程与教学内容体系研究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6.高校课程的准入、建设、评价与淘汰研究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7.高校课程建设标准与评估办法研究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8.高校公共基础课程教学改革与实践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9.高校通识教育课程的探索与实践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10.基于创新型人才培养的大学课程改革研究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11.研究生课程建设的改革研究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12.各类职业教育人才培养衔接课程建设研究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13.高等学校各类微课课程在教学中的应用研究 </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14.本科专业综合改革研究与实践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15.MOOC课程建设与翻转课堂教学研究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四、教学方法、手段改革与教学资源建设</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1.各类课程教学方法、手段的改革与实践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2.现代教育技术在教学中的应用研究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3.考试方式、方法的改革与实践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4.高等学校试题库建设与应用</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5.网络环境下学生自主学习能力的培养与评价研究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6.教学资源平台建设与管理的研究与实践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7.高等学校教学资源库建设的研究与实践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8.省级“质量工程”项目的示范性、推广性及共享研究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9.高等学校优质教育资源共建共享研究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10.高等学校微课教学资源库建设的研究与实践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11.高等学校精品视频公开课建设与研究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五、高校实践教学模式改革与大学生创新能力培养</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w:t>
      </w:r>
      <w:r>
        <w:rPr>
          <w:rFonts w:hint="default" w:ascii="仿宋_GB2312" w:eastAsia="仿宋_GB2312" w:cs="仿宋_GB2312"/>
          <w:color w:val="000000"/>
          <w:spacing w:val="-6"/>
          <w:sz w:val="28"/>
          <w:szCs w:val="28"/>
        </w:rPr>
        <w:t>高等学校实践教育模式创新和实践教育基地建设改革与实践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2.高等学校学科（专业、课程）实践教学（体系）改革研究与实践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3.高校大学生创新创业活动的研究与实践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4.推进高职高专“双证书”制度及加强职业资格鉴定的研究与实践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5.大学生综合实践技能竞赛改革与创新</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6.高职院校区域性（行业性、专业性）实训基地建设研究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7.实验室、实习实训基地、实验教学示范中心、校外实践基地以及实践教学共享平台建设的研究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8.高校校办创新创业孵化基地建设研究与实践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六、教学团队与教师队伍建设</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1.教学团队建设的研究与实践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2.教师发展及服务支持体系研究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3.提升教师教学能力的研究与实践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4.高校教师考核与评价研究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5.高校教师教学激励与保障机制的研究与实践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6.高校名师成长机制与培养途径的研究与实践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7.高等学校高校中青年骨干教师培训研究与实践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8.高等学校“双师型”教师队伍建设研究与实践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9.高校教风与学风建设研究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10.高校创新创业教育师资队伍的建设研究与实践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eastAsia" w:ascii="黑体" w:hAnsi="宋体" w:eastAsia="黑体" w:cs="黑体"/>
          <w:color w:val="000000"/>
          <w:sz w:val="28"/>
          <w:szCs w:val="28"/>
        </w:rPr>
        <w:t>七、教学管理与质量监控体系</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1.高校教学管理体制与运行机制的研究与实践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2.高校教学管理队伍建设研究</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3.高校现代化教学管理手段研究与实践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4.毕业设计（论文）质量管理研究与实践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5.高等学校教学基层组织形式及其管理的改革与实践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6.高校教学评价制度与质量管理研究与实践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7.多校区办学管理模式研究与实践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8.高等学校学生管理改革研究与实践</w:t>
      </w:r>
    </w:p>
    <w:p>
      <w:pPr>
        <w:pStyle w:val="2"/>
        <w:keepNext w:val="0"/>
        <w:keepLines w:val="0"/>
        <w:widowControl/>
        <w:suppressLineNumbers w:val="0"/>
        <w:wordWrap w:val="0"/>
        <w:snapToGrid w:val="0"/>
        <w:spacing w:before="0" w:beforeAutospacing="0" w:after="0" w:afterAutospacing="0" w:line="590" w:lineRule="atLeast"/>
        <w:ind w:left="0" w:right="0" w:firstLine="640"/>
        <w:jc w:val="both"/>
        <w:rPr>
          <w:sz w:val="16"/>
          <w:szCs w:val="16"/>
        </w:rPr>
      </w:pPr>
      <w:r>
        <w:rPr>
          <w:rFonts w:hint="default" w:ascii="仿宋_GB2312" w:eastAsia="仿宋_GB2312" w:cs="仿宋_GB2312"/>
          <w:color w:val="000000"/>
          <w:sz w:val="28"/>
          <w:szCs w:val="28"/>
        </w:rPr>
        <w:t>9.大学生就业能力培养与就业指导模式改革研究</w:t>
      </w: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r>
        <w:rPr>
          <w:rFonts w:hint="default" w:ascii="仿宋_GB2312" w:eastAsia="仿宋_GB2312" w:cs="仿宋_GB2312"/>
          <w:color w:val="000000"/>
          <w:sz w:val="28"/>
          <w:szCs w:val="28"/>
        </w:rPr>
        <w:t>10.学分制改革研究与实践</w:t>
      </w:r>
      <w:r>
        <w:rPr>
          <w:rFonts w:hint="eastAsia" w:ascii="仿宋_GB2312" w:eastAsia="仿宋_GB2312" w:cs="仿宋_GB2312"/>
          <w:color w:val="000000"/>
          <w:sz w:val="28"/>
          <w:szCs w:val="28"/>
          <w:lang w:eastAsia="zh-CN"/>
        </w:rPr>
        <w:tab/>
      </w: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pPr>
        <w:pStyle w:val="2"/>
        <w:keepNext w:val="0"/>
        <w:keepLines w:val="0"/>
        <w:widowControl/>
        <w:suppressLineNumbers w:val="0"/>
        <w:tabs>
          <w:tab w:val="center" w:pos="4310"/>
        </w:tabs>
        <w:wordWrap w:val="0"/>
        <w:snapToGrid w:val="0"/>
        <w:spacing w:before="0" w:beforeAutospacing="0" w:after="0" w:afterAutospacing="0" w:line="590" w:lineRule="atLeast"/>
        <w:ind w:left="0" w:right="0" w:firstLine="640"/>
        <w:jc w:val="both"/>
        <w:rPr>
          <w:rFonts w:hint="eastAsia" w:ascii="仿宋_GB2312" w:eastAsia="仿宋_GB2312" w:cs="仿宋_GB2312"/>
          <w:color w:val="000000"/>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057FF"/>
    <w:rsid w:val="02A057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80008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2018-10-11T02:43:00Z</dcterms:created>
  <dc:creator>201800082</dc:creator>
  <cp:lastModifiedBy>201800082</cp:lastModifiedBy>
  <dcterms:modified xsi:type="dcterms:W3CDTF">2018-10-11T02:43:51Z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